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587" w:rsidRPr="001250B7" w:rsidRDefault="009C7587" w:rsidP="009C7587">
      <w:pPr>
        <w:spacing w:line="48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  <w:shd w:val="clear" w:color="auto" w:fill="FFFFFF"/>
        </w:rPr>
        <w:t>3</w:t>
      </w:r>
      <w:r w:rsidRPr="001250B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</w:t>
      </w:r>
      <w:proofErr w:type="gramEnd"/>
      <w:r w:rsidRPr="001250B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The independently predictive value of ARSA or nonisolated ARSA for chromosomal abnormalities 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6"/>
        <w:gridCol w:w="2263"/>
        <w:gridCol w:w="1682"/>
        <w:gridCol w:w="1682"/>
        <w:gridCol w:w="1966"/>
        <w:gridCol w:w="2017"/>
        <w:gridCol w:w="1674"/>
        <w:gridCol w:w="1674"/>
      </w:tblGrid>
      <w:tr w:rsidR="009C7587" w:rsidRPr="001250B7" w:rsidTr="005725B2">
        <w:tc>
          <w:tcPr>
            <w:tcW w:w="383" w:type="pct"/>
            <w:tcBorders>
              <w:top w:val="single" w:sz="4" w:space="0" w:color="auto"/>
              <w:bottom w:val="single" w:sz="4" w:space="0" w:color="auto"/>
            </w:tcBorders>
          </w:tcPr>
          <w:p w:rsidR="009C7587" w:rsidRPr="001250B7" w:rsidRDefault="009C7587" w:rsidP="005725B2">
            <w:pPr>
              <w:spacing w:line="480" w:lineRule="auto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Group</w:t>
            </w:r>
          </w:p>
        </w:tc>
        <w:tc>
          <w:tcPr>
            <w:tcW w:w="805" w:type="pct"/>
            <w:tcBorders>
              <w:top w:val="single" w:sz="4" w:space="0" w:color="auto"/>
              <w:bottom w:val="single" w:sz="4" w:space="0" w:color="auto"/>
            </w:tcBorders>
          </w:tcPr>
          <w:p w:rsidR="009C7587" w:rsidRPr="001250B7" w:rsidRDefault="009C7587" w:rsidP="005725B2">
            <w:pPr>
              <w:spacing w:line="480" w:lineRule="auto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Index</w:t>
            </w:r>
          </w:p>
        </w:tc>
        <w:tc>
          <w:tcPr>
            <w:tcW w:w="600" w:type="pct"/>
            <w:tcBorders>
              <w:top w:val="single" w:sz="4" w:space="0" w:color="auto"/>
              <w:bottom w:val="single" w:sz="4" w:space="0" w:color="auto"/>
            </w:tcBorders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Sensitivity</w:t>
            </w:r>
          </w:p>
        </w:tc>
        <w:tc>
          <w:tcPr>
            <w:tcW w:w="600" w:type="pct"/>
            <w:tcBorders>
              <w:top w:val="single" w:sz="4" w:space="0" w:color="auto"/>
              <w:bottom w:val="single" w:sz="4" w:space="0" w:color="auto"/>
            </w:tcBorders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Specificity</w:t>
            </w:r>
          </w:p>
        </w:tc>
        <w:tc>
          <w:tcPr>
            <w:tcW w:w="700" w:type="pct"/>
            <w:tcBorders>
              <w:top w:val="single" w:sz="4" w:space="0" w:color="auto"/>
              <w:bottom w:val="single" w:sz="4" w:space="0" w:color="auto"/>
            </w:tcBorders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Positive predictive value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4" w:space="0" w:color="auto"/>
            </w:tcBorders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Negative predictive value</w:t>
            </w:r>
          </w:p>
        </w:tc>
        <w:tc>
          <w:tcPr>
            <w:tcW w:w="597" w:type="pct"/>
            <w:tcBorders>
              <w:top w:val="single" w:sz="4" w:space="0" w:color="auto"/>
              <w:bottom w:val="single" w:sz="4" w:space="0" w:color="auto"/>
            </w:tcBorders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Positive likelihood</w:t>
            </w:r>
          </w:p>
        </w:tc>
        <w:tc>
          <w:tcPr>
            <w:tcW w:w="597" w:type="pct"/>
            <w:tcBorders>
              <w:top w:val="single" w:sz="4" w:space="0" w:color="auto"/>
              <w:bottom w:val="single" w:sz="4" w:space="0" w:color="auto"/>
            </w:tcBorders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Negative likelihood</w:t>
            </w:r>
          </w:p>
        </w:tc>
      </w:tr>
      <w:tr w:rsidR="009C7587" w:rsidRPr="001250B7" w:rsidTr="005725B2">
        <w:tc>
          <w:tcPr>
            <w:tcW w:w="383" w:type="pct"/>
            <w:vMerge w:val="restart"/>
            <w:tcBorders>
              <w:top w:val="single" w:sz="4" w:space="0" w:color="auto"/>
            </w:tcBorders>
            <w:vAlign w:val="center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>
              <w:rPr>
                <w:rFonts w:hint="eastAsia"/>
                <w:sz w:val="24"/>
                <w:szCs w:val="24"/>
              </w:rPr>
              <w:t>E</w:t>
            </w:r>
            <w:r w:rsidRPr="00E346FF">
              <w:rPr>
                <w:sz w:val="24"/>
                <w:szCs w:val="24"/>
              </w:rPr>
              <w:t>ntire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FA55DF">
              <w:rPr>
                <w:sz w:val="24"/>
                <w:szCs w:val="24"/>
              </w:rPr>
              <w:t>cohort</w:t>
            </w:r>
            <w:r w:rsidRPr="00FA55DF" w:rsidDel="00FA55DF">
              <w:rPr>
                <w:sz w:val="24"/>
                <w:szCs w:val="24"/>
              </w:rPr>
              <w:t xml:space="preserve"> </w:t>
            </w:r>
          </w:p>
        </w:tc>
        <w:tc>
          <w:tcPr>
            <w:tcW w:w="805" w:type="pct"/>
            <w:tcBorders>
              <w:top w:val="single" w:sz="4" w:space="0" w:color="auto"/>
            </w:tcBorders>
          </w:tcPr>
          <w:p w:rsidR="009C7587" w:rsidRPr="001250B7" w:rsidRDefault="009C7587" w:rsidP="005725B2">
            <w:pPr>
              <w:spacing w:line="480" w:lineRule="auto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ARSA</w:t>
            </w:r>
          </w:p>
        </w:tc>
        <w:tc>
          <w:tcPr>
            <w:tcW w:w="600" w:type="pct"/>
            <w:tcBorders>
              <w:top w:val="single" w:sz="4" w:space="0" w:color="auto"/>
            </w:tcBorders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11.76%</w:t>
            </w:r>
          </w:p>
        </w:tc>
        <w:tc>
          <w:tcPr>
            <w:tcW w:w="600" w:type="pct"/>
            <w:tcBorders>
              <w:top w:val="single" w:sz="4" w:space="0" w:color="auto"/>
            </w:tcBorders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99.24%</w:t>
            </w:r>
          </w:p>
        </w:tc>
        <w:tc>
          <w:tcPr>
            <w:tcW w:w="700" w:type="pct"/>
            <w:tcBorders>
              <w:top w:val="single" w:sz="4" w:space="0" w:color="auto"/>
            </w:tcBorders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12.63%</w:t>
            </w:r>
          </w:p>
        </w:tc>
        <w:tc>
          <w:tcPr>
            <w:tcW w:w="718" w:type="pct"/>
            <w:tcBorders>
              <w:top w:val="single" w:sz="4" w:space="0" w:color="auto"/>
            </w:tcBorders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99.25%</w:t>
            </w:r>
          </w:p>
        </w:tc>
        <w:tc>
          <w:tcPr>
            <w:tcW w:w="597" w:type="pct"/>
            <w:tcBorders>
              <w:top w:val="single" w:sz="4" w:space="0" w:color="auto"/>
            </w:tcBorders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15.47</w:t>
            </w:r>
          </w:p>
        </w:tc>
        <w:tc>
          <w:tcPr>
            <w:tcW w:w="597" w:type="pct"/>
            <w:tcBorders>
              <w:top w:val="single" w:sz="4" w:space="0" w:color="auto"/>
            </w:tcBorders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0.90</w:t>
            </w:r>
          </w:p>
        </w:tc>
      </w:tr>
      <w:tr w:rsidR="009C7587" w:rsidRPr="001250B7" w:rsidTr="005725B2">
        <w:tc>
          <w:tcPr>
            <w:tcW w:w="383" w:type="pct"/>
            <w:vMerge/>
            <w:vAlign w:val="center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05" w:type="pct"/>
          </w:tcPr>
          <w:p w:rsidR="009C7587" w:rsidRPr="001250B7" w:rsidRDefault="009C7587" w:rsidP="005725B2">
            <w:pPr>
              <w:spacing w:line="480" w:lineRule="auto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Nonisolated ARSA</w:t>
            </w:r>
          </w:p>
        </w:tc>
        <w:tc>
          <w:tcPr>
            <w:tcW w:w="600" w:type="pct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11.76%</w:t>
            </w:r>
          </w:p>
        </w:tc>
        <w:tc>
          <w:tcPr>
            <w:tcW w:w="600" w:type="pct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99.83%</w:t>
            </w:r>
          </w:p>
        </w:tc>
        <w:tc>
          <w:tcPr>
            <w:tcW w:w="700" w:type="pct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34.29%</w:t>
            </w:r>
          </w:p>
        </w:tc>
        <w:tc>
          <w:tcPr>
            <w:tcW w:w="718" w:type="pct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99.34%</w:t>
            </w:r>
          </w:p>
        </w:tc>
        <w:tc>
          <w:tcPr>
            <w:tcW w:w="597" w:type="pct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69.49</w:t>
            </w:r>
          </w:p>
        </w:tc>
        <w:tc>
          <w:tcPr>
            <w:tcW w:w="597" w:type="pct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0.89</w:t>
            </w:r>
          </w:p>
        </w:tc>
      </w:tr>
      <w:tr w:rsidR="009C7587" w:rsidRPr="001250B7" w:rsidTr="005725B2">
        <w:tc>
          <w:tcPr>
            <w:tcW w:w="383" w:type="pct"/>
            <w:vMerge w:val="restart"/>
            <w:vAlign w:val="center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AMA</w:t>
            </w:r>
          </w:p>
        </w:tc>
        <w:tc>
          <w:tcPr>
            <w:tcW w:w="805" w:type="pct"/>
          </w:tcPr>
          <w:p w:rsidR="009C7587" w:rsidRPr="001250B7" w:rsidRDefault="009C7587" w:rsidP="005725B2">
            <w:pPr>
              <w:spacing w:line="480" w:lineRule="auto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ARSA</w:t>
            </w:r>
          </w:p>
        </w:tc>
        <w:tc>
          <w:tcPr>
            <w:tcW w:w="600" w:type="pct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13.51%</w:t>
            </w:r>
          </w:p>
        </w:tc>
        <w:tc>
          <w:tcPr>
            <w:tcW w:w="600" w:type="pct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99.02%</w:t>
            </w:r>
          </w:p>
        </w:tc>
        <w:tc>
          <w:tcPr>
            <w:tcW w:w="700" w:type="pct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20.00%</w:t>
            </w:r>
          </w:p>
        </w:tc>
        <w:tc>
          <w:tcPr>
            <w:tcW w:w="718" w:type="pct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98.45%</w:t>
            </w:r>
          </w:p>
        </w:tc>
        <w:tc>
          <w:tcPr>
            <w:tcW w:w="597" w:type="pct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13.38</w:t>
            </w:r>
          </w:p>
        </w:tc>
        <w:tc>
          <w:tcPr>
            <w:tcW w:w="597" w:type="pct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0.87</w:t>
            </w:r>
          </w:p>
        </w:tc>
      </w:tr>
      <w:tr w:rsidR="009C7587" w:rsidRPr="001250B7" w:rsidTr="005725B2">
        <w:tc>
          <w:tcPr>
            <w:tcW w:w="383" w:type="pct"/>
            <w:vMerge/>
            <w:vAlign w:val="center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05" w:type="pct"/>
          </w:tcPr>
          <w:p w:rsidR="009C7587" w:rsidRPr="001250B7" w:rsidRDefault="009C7587" w:rsidP="005725B2">
            <w:pPr>
              <w:spacing w:line="480" w:lineRule="auto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Nonisolated ARSA</w:t>
            </w:r>
          </w:p>
        </w:tc>
        <w:tc>
          <w:tcPr>
            <w:tcW w:w="600" w:type="pct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10.81%</w:t>
            </w:r>
          </w:p>
        </w:tc>
        <w:tc>
          <w:tcPr>
            <w:tcW w:w="600" w:type="pct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99.71%</w:t>
            </w:r>
          </w:p>
        </w:tc>
        <w:tc>
          <w:tcPr>
            <w:tcW w:w="700" w:type="pct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40.00%</w:t>
            </w:r>
          </w:p>
        </w:tc>
        <w:tc>
          <w:tcPr>
            <w:tcW w:w="718" w:type="pct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98.41%</w:t>
            </w:r>
          </w:p>
        </w:tc>
        <w:tc>
          <w:tcPr>
            <w:tcW w:w="597" w:type="pct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36.90</w:t>
            </w:r>
          </w:p>
        </w:tc>
        <w:tc>
          <w:tcPr>
            <w:tcW w:w="597" w:type="pct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0.90</w:t>
            </w:r>
          </w:p>
        </w:tc>
      </w:tr>
      <w:tr w:rsidR="009C7587" w:rsidRPr="001250B7" w:rsidTr="005725B2">
        <w:tc>
          <w:tcPr>
            <w:tcW w:w="383" w:type="pct"/>
            <w:vMerge w:val="restart"/>
            <w:vAlign w:val="center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D6376D">
              <w:rPr>
                <w:sz w:val="24"/>
                <w:szCs w:val="24"/>
              </w:rPr>
              <w:t>non-AMA</w:t>
            </w:r>
          </w:p>
        </w:tc>
        <w:tc>
          <w:tcPr>
            <w:tcW w:w="805" w:type="pct"/>
          </w:tcPr>
          <w:p w:rsidR="009C7587" w:rsidRPr="001250B7" w:rsidRDefault="009C7587" w:rsidP="005725B2">
            <w:pPr>
              <w:spacing w:line="480" w:lineRule="auto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ARSA</w:t>
            </w:r>
          </w:p>
        </w:tc>
        <w:tc>
          <w:tcPr>
            <w:tcW w:w="600" w:type="pct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10.77%</w:t>
            </w:r>
          </w:p>
        </w:tc>
        <w:tc>
          <w:tcPr>
            <w:tcW w:w="600" w:type="pct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99.42%</w:t>
            </w:r>
          </w:p>
        </w:tc>
        <w:tc>
          <w:tcPr>
            <w:tcW w:w="700" w:type="pct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10.00%</w:t>
            </w:r>
          </w:p>
        </w:tc>
        <w:tc>
          <w:tcPr>
            <w:tcW w:w="718" w:type="pct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99.49%</w:t>
            </w:r>
          </w:p>
        </w:tc>
        <w:tc>
          <w:tcPr>
            <w:tcW w:w="597" w:type="pct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18.41</w:t>
            </w:r>
          </w:p>
        </w:tc>
        <w:tc>
          <w:tcPr>
            <w:tcW w:w="597" w:type="pct"/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0.90</w:t>
            </w:r>
          </w:p>
        </w:tc>
      </w:tr>
      <w:tr w:rsidR="009C7587" w:rsidRPr="001250B7" w:rsidTr="005725B2">
        <w:tc>
          <w:tcPr>
            <w:tcW w:w="383" w:type="pct"/>
            <w:vMerge/>
            <w:tcBorders>
              <w:bottom w:val="single" w:sz="4" w:space="0" w:color="auto"/>
            </w:tcBorders>
          </w:tcPr>
          <w:p w:rsidR="009C7587" w:rsidRPr="001250B7" w:rsidRDefault="009C7587" w:rsidP="005725B2">
            <w:pPr>
              <w:spacing w:line="480" w:lineRule="auto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05" w:type="pct"/>
            <w:tcBorders>
              <w:bottom w:val="single" w:sz="4" w:space="0" w:color="auto"/>
            </w:tcBorders>
          </w:tcPr>
          <w:p w:rsidR="009C7587" w:rsidRPr="001250B7" w:rsidRDefault="009C7587" w:rsidP="005725B2">
            <w:pPr>
              <w:spacing w:line="480" w:lineRule="auto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Nonisolated ARSA</w:t>
            </w:r>
          </w:p>
        </w:tc>
        <w:tc>
          <w:tcPr>
            <w:tcW w:w="600" w:type="pct"/>
            <w:tcBorders>
              <w:bottom w:val="single" w:sz="4" w:space="0" w:color="auto"/>
            </w:tcBorders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10.77%</w:t>
            </w:r>
          </w:p>
        </w:tc>
        <w:tc>
          <w:tcPr>
            <w:tcW w:w="600" w:type="pct"/>
            <w:tcBorders>
              <w:bottom w:val="single" w:sz="4" w:space="0" w:color="auto"/>
            </w:tcBorders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99.26%</w:t>
            </w:r>
          </w:p>
        </w:tc>
        <w:tc>
          <w:tcPr>
            <w:tcW w:w="700" w:type="pct"/>
            <w:tcBorders>
              <w:bottom w:val="single" w:sz="4" w:space="0" w:color="auto"/>
            </w:tcBorders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31.82%</w:t>
            </w:r>
          </w:p>
        </w:tc>
        <w:tc>
          <w:tcPr>
            <w:tcW w:w="718" w:type="pct"/>
            <w:tcBorders>
              <w:bottom w:val="single" w:sz="4" w:space="0" w:color="auto"/>
            </w:tcBorders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97.19%</w:t>
            </w:r>
          </w:p>
        </w:tc>
        <w:tc>
          <w:tcPr>
            <w:tcW w:w="597" w:type="pct"/>
            <w:tcBorders>
              <w:bottom w:val="single" w:sz="4" w:space="0" w:color="auto"/>
            </w:tcBorders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14.51</w:t>
            </w:r>
          </w:p>
        </w:tc>
        <w:tc>
          <w:tcPr>
            <w:tcW w:w="597" w:type="pct"/>
            <w:tcBorders>
              <w:bottom w:val="single" w:sz="4" w:space="0" w:color="auto"/>
            </w:tcBorders>
          </w:tcPr>
          <w:p w:rsidR="009C7587" w:rsidRPr="001250B7" w:rsidRDefault="009C7587" w:rsidP="005725B2">
            <w:pPr>
              <w:spacing w:line="480" w:lineRule="auto"/>
              <w:jc w:val="center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1250B7">
              <w:rPr>
                <w:rFonts w:eastAsiaTheme="minorEastAsia"/>
                <w:sz w:val="24"/>
                <w:szCs w:val="24"/>
                <w:shd w:val="clear" w:color="auto" w:fill="FFFFFF"/>
              </w:rPr>
              <w:t>0.90</w:t>
            </w:r>
          </w:p>
        </w:tc>
      </w:tr>
    </w:tbl>
    <w:p w:rsidR="009C7587" w:rsidRPr="001250B7" w:rsidRDefault="009C7587" w:rsidP="009C7587">
      <w:pPr>
        <w:spacing w:line="48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5E7C49" w:rsidRDefault="005E7C49">
      <w:bookmarkStart w:id="0" w:name="_GoBack"/>
      <w:bookmarkEnd w:id="0"/>
    </w:p>
    <w:sectPr w:rsidR="005E7C49" w:rsidSect="009C758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587"/>
    <w:rsid w:val="000B57F7"/>
    <w:rsid w:val="000C58A8"/>
    <w:rsid w:val="00136DCB"/>
    <w:rsid w:val="002042BF"/>
    <w:rsid w:val="002B211A"/>
    <w:rsid w:val="00343ECF"/>
    <w:rsid w:val="003A5080"/>
    <w:rsid w:val="005E7C49"/>
    <w:rsid w:val="00621D45"/>
    <w:rsid w:val="006519AF"/>
    <w:rsid w:val="00675DFA"/>
    <w:rsid w:val="00771D85"/>
    <w:rsid w:val="00783B28"/>
    <w:rsid w:val="0085448E"/>
    <w:rsid w:val="00893DF1"/>
    <w:rsid w:val="009A2371"/>
    <w:rsid w:val="009C7587"/>
    <w:rsid w:val="00AB1CEF"/>
    <w:rsid w:val="00AD7522"/>
    <w:rsid w:val="00B54665"/>
    <w:rsid w:val="00DB43C0"/>
    <w:rsid w:val="00E319D5"/>
    <w:rsid w:val="00EB3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5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9C758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5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9C758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2019-07-30T04:53:00Z</dcterms:created>
  <dcterms:modified xsi:type="dcterms:W3CDTF">2019-07-30T04:54:00Z</dcterms:modified>
</cp:coreProperties>
</file>